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5F9F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sáng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</w:p>
    <w:p w14:paraId="23070CC7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(ĐCSVN)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6081E61D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XV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7265CCB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C3F35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1930,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Mác-Lênin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1/8/1930,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1-8”.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1/8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son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1/8/1930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Lê-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41C1B849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78ECD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chặng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vang 91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cậy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65BE36D9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AFDA5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18279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baovanhoa.vn </w:t>
      </w:r>
    </w:p>
    <w:p w14:paraId="5C274C7F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lastRenderedPageBreak/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Lê-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Nam…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”…</w:t>
      </w:r>
      <w:proofErr w:type="gram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E9D98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0BAEB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7.903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1.022.037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05-CT/TW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Minh”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6.750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318.688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nghênh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136F9607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B370D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XV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2021-2026;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(GDP 6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5,64%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2020);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lastRenderedPageBreak/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37-NQ/TW,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9/10/2014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2030”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285-QĐ/TW,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25/4/2015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”)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XV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2021-2026;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vắc-xin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covid-19…</w:t>
      </w:r>
    </w:p>
    <w:p w14:paraId="06DBC385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877F8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05-CT/TW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Minh”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6C4F36D7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7B677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XV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2021-2026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Song,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lastRenderedPageBreak/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xu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song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670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lạm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nay”. Song,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tai,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gay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gắt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bẫy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C670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Internet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vang 91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FBD7B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5181D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</w:t>
      </w:r>
    </w:p>
    <w:p w14:paraId="3D6AD0E6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CE285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lastRenderedPageBreak/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XXI,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ta. Do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45EACF6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4A88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Ba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670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,...;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then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Nam…,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774C3D9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493B1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lastRenderedPageBreak/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. </w:t>
      </w:r>
    </w:p>
    <w:p w14:paraId="5602B741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D1D2B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670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”...</w:t>
      </w:r>
      <w:proofErr w:type="gram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Delta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5K +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vắc-xin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ra.</w:t>
      </w:r>
    </w:p>
    <w:p w14:paraId="6094CB51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8D451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05-CT/TW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”.</w:t>
      </w:r>
    </w:p>
    <w:p w14:paraId="500604D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5592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35-NQ/TW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Lê-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0C6A9A05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36BA9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670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ra.</w:t>
      </w:r>
    </w:p>
    <w:p w14:paraId="486614ED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D9C8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: “Ta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nghiêp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ở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. Quan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49AB4F2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91A2F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đốn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nhũng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lệ</w:t>
      </w:r>
      <w:proofErr w:type="spellEnd"/>
      <w:proofErr w:type="gramStart"/>
      <w:r w:rsidRPr="001C6701">
        <w:rPr>
          <w:rFonts w:ascii="Times New Roman" w:hAnsi="Times New Roman" w:cs="Times New Roman"/>
          <w:sz w:val="28"/>
          <w:szCs w:val="28"/>
        </w:rPr>
        <w:t>”,“</w:t>
      </w:r>
      <w:proofErr w:type="spellStart"/>
      <w:proofErr w:type="gramEnd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6701">
        <w:rPr>
          <w:rFonts w:ascii="Times New Roman" w:hAnsi="Times New Roman" w:cs="Times New Roman"/>
          <w:sz w:val="28"/>
          <w:szCs w:val="28"/>
        </w:rPr>
        <w:t>V.Lê</w:t>
      </w:r>
      <w:proofErr w:type="gramEnd"/>
      <w:r w:rsidRPr="001C6701">
        <w:rPr>
          <w:rFonts w:ascii="Times New Roman" w:hAnsi="Times New Roman" w:cs="Times New Roman"/>
          <w:sz w:val="28"/>
          <w:szCs w:val="28"/>
        </w:rPr>
        <w:t>-nin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dẹp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143E56B1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08112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</w:t>
      </w:r>
    </w:p>
    <w:p w14:paraId="60B44EED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CD91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lastRenderedPageBreak/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mãnh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phồn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./.</w:t>
      </w:r>
    </w:p>
    <w:p w14:paraId="6A8EE3A1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F7AEC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01">
        <w:rPr>
          <w:rFonts w:ascii="Times New Roman" w:hAnsi="Times New Roman" w:cs="Times New Roman"/>
          <w:sz w:val="28"/>
          <w:szCs w:val="28"/>
        </w:rPr>
        <w:t xml:space="preserve">TS.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Đức</w:t>
      </w:r>
      <w:proofErr w:type="spellEnd"/>
    </w:p>
    <w:p w14:paraId="7ADB7304" w14:textId="77777777" w:rsidR="001C670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>,</w:t>
      </w:r>
    </w:p>
    <w:p w14:paraId="58E78D0A" w14:textId="4FD86500" w:rsidR="00117251" w:rsidRPr="001C6701" w:rsidRDefault="001C6701" w:rsidP="001C67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TW;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7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C6701">
        <w:rPr>
          <w:rFonts w:ascii="Times New Roman" w:hAnsi="Times New Roman" w:cs="Times New Roman"/>
          <w:sz w:val="28"/>
          <w:szCs w:val="28"/>
        </w:rPr>
        <w:t xml:space="preserve"> TW</w:t>
      </w:r>
    </w:p>
    <w:sectPr w:rsidR="00117251" w:rsidRPr="001C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01"/>
    <w:rsid w:val="00117251"/>
    <w:rsid w:val="001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4F98"/>
  <w15:chartTrackingRefBased/>
  <w15:docId w15:val="{DBB029A8-A7B9-4985-849E-E0314A5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0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0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2867</Words>
  <Characters>16345</Characters>
  <Application>Microsoft Office Word</Application>
  <DocSecurity>0</DocSecurity>
  <Lines>136</Lines>
  <Paragraphs>38</Paragraphs>
  <ScaleCrop>false</ScaleCrop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2021-08-03T08:53:00Z</dcterms:created>
  <dcterms:modified xsi:type="dcterms:W3CDTF">2021-08-03T08:55:00Z</dcterms:modified>
</cp:coreProperties>
</file>